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26"/>
        <w:jc w:val="center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ОБЗОР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226"/>
        <w:jc w:val="center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уголовных дел по преступлениям коррупционной направленности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226"/>
        <w:jc w:val="center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за </w:t>
      </w:r>
      <w:r>
        <w:rPr>
          <w:rFonts w:ascii="Tinos" w:hAnsi="Tinos" w:eastAsia="Tinos" w:cs="Tinos"/>
          <w:sz w:val="28"/>
          <w:szCs w:val="28"/>
        </w:rPr>
        <w:t xml:space="preserve">2024-</w:t>
      </w:r>
      <w:r>
        <w:rPr>
          <w:rFonts w:ascii="Tinos" w:hAnsi="Tinos" w:eastAsia="Tinos" w:cs="Tinos"/>
          <w:sz w:val="28"/>
          <w:szCs w:val="28"/>
        </w:rPr>
        <w:t xml:space="preserve">2025 г</w:t>
      </w:r>
      <w:r>
        <w:rPr>
          <w:rFonts w:ascii="Tinos" w:hAnsi="Tinos" w:eastAsia="Tinos" w:cs="Tinos"/>
          <w:sz w:val="28"/>
          <w:szCs w:val="28"/>
        </w:rPr>
        <w:t xml:space="preserve">г.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226"/>
        <w:jc w:val="center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Коррупционное преступление – это общественно опасное деяние, которое непосредственно посягает на авторитет и законные интересы службы и выражается в противоправном получении государственным, муниципальным или иным публичным служащим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либо служащим коммерческой или иной организации (в том числе международной) каких-либо преимуществ (имущества, прав на него, услуг или льгот) либо в предоставлении последним таких преимуществ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 целью своевременного реагирования на ситуацию и появление новых коррупционных проявлений,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b w:val="0"/>
          <w:sz w:val="28"/>
          <w:szCs w:val="28"/>
        </w:rPr>
        <w:t xml:space="preserve">остановлением П</w:t>
      </w:r>
      <w:r>
        <w:rPr>
          <w:rFonts w:ascii="Tinos" w:hAnsi="Tinos" w:eastAsia="Tinos" w:cs="Tinos"/>
          <w:b w:val="0"/>
          <w:sz w:val="28"/>
          <w:szCs w:val="28"/>
        </w:rPr>
        <w:t xml:space="preserve">равительства Оренбургской области от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13 февраля 2025 года № 138-пп</w:t>
      </w:r>
      <w:r>
        <w:rPr>
          <w:rFonts w:ascii="Tinos" w:hAnsi="Tinos" w:eastAsia="Tinos" w:cs="Tinos"/>
          <w:b w:val="0"/>
          <w:sz w:val="28"/>
          <w:szCs w:val="28"/>
        </w:rPr>
        <w:t xml:space="preserve"> утверждена региональная программа противодействия коррупции в Оренбургской области на 2025-2029 годы, которой предусмотрен комплекс мер, направленных </w:t>
      </w:r>
      <w:r>
        <w:rPr>
          <w:rFonts w:ascii="Tinos" w:hAnsi="Tinos" w:eastAsia="Tinos" w:cs="Tinos"/>
          <w:b w:val="0"/>
          <w:sz w:val="28"/>
          <w:szCs w:val="28"/>
        </w:rPr>
        <w:t xml:space="preserve">как на предупреждение, так                              и пресечение коррупции, её последствий.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Показателями программы предусмотрено постоянное снижение количества коррупционных правонарушений, допускаемых лицами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замещающими государственные (муниципальные) должности Оренбургской области, должности государственной гражданской (муниципальной) службы, допустивших коррупционные правонарушения, не относящиеся к категории "несущественные проступки"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Таким образом, одним из итогов деятельности профилактики коррупционных правонарушений является исключение в деятельности подконтрольных лиц действий коррупционной направленности.</w:t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Возбуждение, расследование уголовных дел, привлечение к уголовной ответственности, назначение наказания и его исполнение, является действенным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способом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88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Комитет по профилактике коррупционных правонарушений Оренбургской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бласти (далее – комитет) отмечает, что эффективность профилактики коррупции напрямую отражается на показателях противодействия коррупции. Значительное количество выявленных уголовных дел свидетельствует о недостаточности проводимой профилактической работы.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 целях реализации мер по профилактике коррупционных правонарушений, недопущения совершения преступлений коррупционной нап</w:t>
      </w:r>
      <w:r>
        <w:rPr>
          <w:rFonts w:ascii="Tinos" w:hAnsi="Tinos" w:eastAsia="Tinos" w:cs="Tinos"/>
          <w:bCs/>
          <w:sz w:val="28"/>
          <w:szCs w:val="28"/>
        </w:rPr>
        <w:t xml:space="preserve">равленности, </w:t>
      </w:r>
      <w:r>
        <w:rPr>
          <w:rFonts w:ascii="Tinos" w:hAnsi="Tinos" w:eastAsia="Tinos" w:cs="Tinos"/>
          <w:bCs/>
          <w:sz w:val="28"/>
          <w:szCs w:val="28"/>
        </w:rPr>
        <w:t xml:space="preserve">в</w:t>
      </w:r>
      <w:r>
        <w:rPr>
          <w:rFonts w:ascii="Tinos" w:hAnsi="Tinos" w:eastAsia="Tinos" w:cs="Tinos"/>
          <w:bCs/>
          <w:sz w:val="28"/>
          <w:szCs w:val="28"/>
        </w:rPr>
        <w:t xml:space="preserve"> соответствии с подпунктом 1 пункта 3.2 решения комиссии по координации работы по противодействию коррупции в Оренбургской области от 26.10.2021 (протокол № 36) комитетом </w:t>
      </w:r>
      <w:r>
        <w:rPr>
          <w:rFonts w:ascii="Tinos" w:hAnsi="Tinos" w:eastAsia="Tinos" w:cs="Tinos"/>
          <w:bCs/>
          <w:sz w:val="28"/>
          <w:szCs w:val="28"/>
        </w:rPr>
        <w:t xml:space="preserve">подготовлен обзор уголовных дел </w:t>
      </w:r>
      <w:r>
        <w:rPr>
          <w:rFonts w:ascii="Tinos" w:hAnsi="Tinos" w:eastAsia="Tinos" w:cs="Tinos"/>
          <w:bCs/>
          <w:sz w:val="28"/>
          <w:szCs w:val="28"/>
        </w:rPr>
        <w:t xml:space="preserve">по преступлениям коррупционной направленности, возбужденных </w:t>
      </w:r>
      <w:r>
        <w:rPr>
          <w:rFonts w:ascii="Tinos" w:hAnsi="Tinos" w:eastAsia="Tinos" w:cs="Tinos"/>
          <w:bCs/>
          <w:sz w:val="28"/>
          <w:szCs w:val="28"/>
        </w:rPr>
        <w:t xml:space="preserve">и расследованных правоохранительными органами </w:t>
      </w:r>
      <w:r>
        <w:rPr>
          <w:rFonts w:ascii="Tinos" w:hAnsi="Tinos" w:eastAsia="Tinos" w:cs="Tinos"/>
          <w:bCs/>
          <w:sz w:val="28"/>
          <w:szCs w:val="28"/>
        </w:rPr>
        <w:t xml:space="preserve">в отношении лиц, замещающих должности в исполнительных органах </w:t>
      </w:r>
      <w:r>
        <w:rPr>
          <w:rFonts w:ascii="Tinos" w:hAnsi="Tinos" w:eastAsia="Tinos" w:cs="Tinos"/>
          <w:bCs/>
          <w:sz w:val="28"/>
          <w:szCs w:val="28"/>
        </w:rPr>
        <w:t xml:space="preserve">(далее – ИО), органах местного самоуправления Оренбургской области (далее – ОМСУ),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подведомственных исполнительным органам Оренбургской области, органам местного самоуправления городских округов, муниципальных округов и муниципальных районов Оренбургской области учреждениях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(далее – подведомственные учреждения)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При подготовке обзора использованы сведения, представленные сл</w:t>
      </w:r>
      <w:r>
        <w:rPr>
          <w:rFonts w:ascii="Tinos" w:hAnsi="Tinos" w:eastAsia="Tinos" w:cs="Tinos"/>
          <w:bCs/>
          <w:sz w:val="28"/>
          <w:szCs w:val="28"/>
        </w:rPr>
        <w:t xml:space="preserve">едственным управлением Следственного комитета Российской Федерации </w:t>
      </w:r>
      <w:r>
        <w:rPr>
          <w:rFonts w:ascii="Tinos" w:hAnsi="Tinos" w:eastAsia="Tinos" w:cs="Tinos"/>
          <w:bCs/>
          <w:sz w:val="28"/>
          <w:szCs w:val="28"/>
        </w:rPr>
        <w:t xml:space="preserve">по Оренбургской области, управлением МВД России по Оренбургской области, прокуратурой Оренбургской области.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 2024 год лицами, замещающими государственные и муниципальные должности, должно</w:t>
      </w:r>
      <w:r>
        <w:rPr>
          <w:rFonts w:ascii="Tinos" w:hAnsi="Tinos" w:eastAsia="Tinos" w:cs="Tinos"/>
          <w:bCs/>
          <w:sz w:val="28"/>
          <w:szCs w:val="28"/>
        </w:rPr>
        <w:t xml:space="preserve">сти государственной гражданской и муниципальной службы, руководителями и работниками подведомственных учреждений</w:t>
      </w:r>
      <w:r>
        <w:rPr>
          <w:rFonts w:ascii="Tinos" w:hAnsi="Tinos" w:eastAsia="Tinos" w:cs="Tinos"/>
          <w:bCs/>
          <w:sz w:val="28"/>
          <w:szCs w:val="28"/>
        </w:rPr>
        <w:t xml:space="preserve">, </w:t>
      </w:r>
      <w:r>
        <w:rPr>
          <w:rFonts w:ascii="Tinos" w:hAnsi="Tinos" w:eastAsia="Tinos" w:cs="Tinos"/>
          <w:bCs/>
          <w:sz w:val="28"/>
          <w:szCs w:val="28"/>
        </w:rPr>
        <w:t xml:space="preserve">совершено 36 преступлений</w:t>
      </w:r>
      <w:r>
        <w:rPr>
          <w:rFonts w:ascii="Tinos" w:hAnsi="Tinos" w:eastAsia="Tinos" w:cs="Tinos"/>
          <w:bCs/>
          <w:sz w:val="28"/>
          <w:szCs w:val="28"/>
        </w:rPr>
        <w:t xml:space="preserve"> коррупционной направленности.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 2025 году указанными лицам</w:t>
      </w:r>
      <w:r>
        <w:rPr>
          <w:rFonts w:ascii="Tinos" w:hAnsi="Tinos" w:eastAsia="Tinos" w:cs="Tinos"/>
          <w:bCs/>
          <w:sz w:val="28"/>
          <w:szCs w:val="28"/>
        </w:rPr>
        <w:t xml:space="preserve">и </w:t>
      </w:r>
      <w:r>
        <w:rPr>
          <w:rFonts w:ascii="Tinos" w:hAnsi="Tinos" w:eastAsia="Tinos" w:cs="Tinos"/>
          <w:bCs/>
          <w:sz w:val="28"/>
          <w:szCs w:val="28"/>
        </w:rPr>
        <w:t xml:space="preserve">совершено 46 преступлений</w:t>
      </w:r>
      <w:r>
        <w:rPr>
          <w:rFonts w:ascii="Tinos" w:hAnsi="Tinos" w:eastAsia="Tinos" w:cs="Tinos"/>
          <w:bCs/>
          <w:sz w:val="28"/>
          <w:szCs w:val="28"/>
        </w:rPr>
        <w:t xml:space="preserve">. Рост абсолютного показателя по совершенным преступлениям составляет 27,8 %.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Анализ информации показал, что за отчетный 2025 год правоохранительными органами возбуждены (расследованы) уголовные дела</w:t>
      </w:r>
      <w:r>
        <w:rPr>
          <w:rFonts w:ascii="Tinos" w:hAnsi="Tinos" w:eastAsia="Tinos" w:cs="Tinos"/>
          <w:bCs/>
          <w:sz w:val="28"/>
          <w:szCs w:val="28"/>
        </w:rPr>
        <w:t xml:space="preserve"> в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отношении следующих лиц: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spacing w:line="288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2 лиц, замещающих государственную должность Оренбургской области: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pStyle w:val="776"/>
        <w:numPr>
          <w:ilvl w:val="0"/>
          <w:numId w:val="29"/>
        </w:numPr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Министр архитект</w:t>
      </w:r>
      <w:r>
        <w:rPr>
          <w:rFonts w:ascii="Tinos" w:hAnsi="Tinos" w:eastAsia="Tinos" w:cs="Tinos"/>
          <w:bCs/>
          <w:sz w:val="28"/>
          <w:szCs w:val="28"/>
        </w:rPr>
        <w:t xml:space="preserve">уры и пространственно-градостроительного развития Оренбургской области;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9"/>
        </w:numPr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Министр природных ресурсов, экологии и имущественных отношений Оренбургской области;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firstLine="0"/>
        <w:jc w:val="both"/>
        <w:spacing w:after="0" w:afterAutospacing="0" w:line="288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      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   4 лиц, замещающих муниципальные должности: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776"/>
        <w:numPr>
          <w:ilvl w:val="0"/>
          <w:numId w:val="28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и.о. главы 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МО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 Акбулакский поссовет  Акбулакского района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; 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pStyle w:val="776"/>
        <w:numPr>
          <w:ilvl w:val="0"/>
          <w:numId w:val="6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глава МО 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Шкуновский сельсовет Акбулакского 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района;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pStyle w:val="776"/>
        <w:numPr>
          <w:ilvl w:val="0"/>
          <w:numId w:val="6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глава МО Домбаровский поссовет Домбаровского района;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pStyle w:val="776"/>
        <w:numPr>
          <w:ilvl w:val="0"/>
          <w:numId w:val="6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глава МО Кубанский сельсовет 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Переволоцкого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 района.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11 руков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одителей учреждений (организаций), функции учредителя для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которых выполняют ИО и ОМСУ: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директор МУП ЖКХ «Энергия» МО Сергиевский сельсовет Оренбургского района;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директор МОАУ «ООШ № 58» г. Оренбурга;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заместитель директора по воспитательной работе ГБОУ «Оренбургская кадетская школа интернат»;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заведующая ГБУСО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«Комплексный центр социального обслуживания населения» в Красногвардейском районе; 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776"/>
        <w:numPr>
          <w:ilvl w:val="0"/>
          <w:numId w:val="10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заведующая отделением медицинской профилактики – врач по медицинской профилактике ГБУЗ «Сорочинская районная больница;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заведующая травмпунктом-врач-травмотолог-ортопед ГАУЗ «Городская больница» г.Орска;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директор ГАПОУ «Ташлинский политехнический техникум;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заместитель директора ГУП «Оренбургремдорстрой»;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директор МУП «Кувандыкское коммунальное хозяйство» МО Кувандыкский городской округ;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директор ГБУ «ЦЗН» Новоорского района</w:t>
      </w:r>
      <w:r>
        <w:rPr>
          <w:rFonts w:ascii="Tinos" w:hAnsi="Tinos" w:eastAsia="Tinos" w:cs="Tinos"/>
          <w:bCs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0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директор МУП «Благоустройство» МО Акбулакский поссовет;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20 работников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учреждений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: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776"/>
        <w:numPr>
          <w:ilvl w:val="0"/>
          <w:numId w:val="14"/>
        </w:numPr>
        <w:ind w:right="0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главный бухгалтер ГАУЗ «Кваркенская районная больница»;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4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заведующая филиалом Кутушинская ООШ МАОУ Курманаевская СОШ;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главный бухгалтер МП «Чкалов-Сервис» Чкаловский сельсовет Оренбургского района;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</w:rPr>
        <w:t xml:space="preserve">главный специалист отдела городского хозяйства МКУ «ЖКХ»</w:t>
      </w:r>
      <w:r>
        <w:rPr>
          <w:rFonts w:ascii="Tinos" w:hAnsi="Tinos" w:eastAsia="Tinos" w:cs="Tinos"/>
          <w:bCs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преподаватель ГАПОУ «Гуманитарно-технический техникум» г.Оренбурга;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ветеринарный врач 2 категории ГБУ «Абдулинское городское управление ветеринарии»;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врач-стоматолог – хирург стоматологического отделения ГБУЗ «Саракташская районная больница»;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21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врач-терапевт-участковый поликлиники терапевтического-поликлинического отделения ГБУЗ «Городская больница» г. Медногорска (4 уголовных дела                        в отношении одного лица).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Комитет обращает внимание, что в подведомственных учреждениях Министерства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природных ресурсов, экологии и имущественных отношений Оренбургской области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и Министерства здравоохранения Оренбургской области</w:t>
      </w:r>
      <w:r>
        <w:rPr>
          <w:rFonts w:ascii="Tinos" w:hAnsi="Tinos" w:eastAsia="Tinos" w:cs="Tinos"/>
          <w:sz w:val="28"/>
          <w:szCs w:val="28"/>
        </w:rPr>
        <w:t xml:space="preserve"> сразу несколько лиц одного учреждения привлечены к уговной ответственности</w:t>
      </w:r>
      <w:r>
        <w:rPr>
          <w:rFonts w:ascii="Tinos" w:hAnsi="Tinos" w:eastAsia="Tinos" w:cs="Tinos"/>
          <w:sz w:val="28"/>
          <w:szCs w:val="28"/>
        </w:rPr>
        <w:t xml:space="preserve">,             </w:t>
      </w:r>
      <w:r>
        <w:rPr>
          <w:rFonts w:ascii="Tinos" w:hAnsi="Tinos" w:eastAsia="Tinos" w:cs="Tinos"/>
          <w:sz w:val="28"/>
          <w:szCs w:val="28"/>
        </w:rPr>
        <w:t xml:space="preserve">из них: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7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заведующий травмпунктом – врач травматолог-ортопед, 2 врача- невролога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ГАУЗ «Городская больница» г.Орска;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pStyle w:val="776"/>
        <w:numPr>
          <w:ilvl w:val="0"/>
          <w:numId w:val="19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3 врача-терапевта</w:t>
      </w:r>
      <w:r>
        <w:rPr>
          <w:rFonts w:ascii="Tinos" w:hAnsi="Tinos" w:eastAsia="Tinos" w:cs="Tinos"/>
          <w:bCs/>
          <w:sz w:val="28"/>
          <w:szCs w:val="28"/>
        </w:rPr>
        <w:t xml:space="preserve"> ГАУЗ «Городская больница» г.Гай;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76"/>
        <w:numPr>
          <w:ilvl w:val="0"/>
          <w:numId w:val="19"/>
        </w:numPr>
        <w:ind w:left="0" w:right="0" w:firstLine="349"/>
        <w:jc w:val="both"/>
        <w:spacing w:after="0" w:afterAutospacing="0"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и.о. лесничего, помощник лесничего, 2 инспектора по охране леса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 ГКУ «Бугурусланское лесничество».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 отношении государственных гражданских служащих в 2024-2025  уголовные дела не возбуждались.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 период 2024-2025 совер</w:t>
      </w:r>
      <w:r>
        <w:rPr>
          <w:rFonts w:ascii="Tinos" w:hAnsi="Tinos" w:eastAsia="Tinos" w:cs="Tinos"/>
          <w:bCs/>
          <w:sz w:val="28"/>
          <w:szCs w:val="28"/>
        </w:rPr>
        <w:t xml:space="preserve">шены преступления, предусмотренные следующими статьями УК РФ: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4"/>
        <w:gridCol w:w="7028"/>
        <w:gridCol w:w="1391"/>
        <w:gridCol w:w="1462"/>
      </w:tblGrid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№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Статья УК РФ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2024 год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2025 год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1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159 УК РФ (мошенничество)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11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2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160 УК РФ (присвоение или растрата)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16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3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285 УК РФ (злоупотребление должностными полномочиями)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1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0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4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286 УК РФ (превышение должностных полномочий)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3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1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5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290 УК РФ (получение взятки)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16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6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vMerge w:val="restart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291 УК РФ (дача взятки)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2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both"/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7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7100" w:type="dxa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ст. 292 УК РФ (служебный подлог)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3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7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tcW w:w="7512" w:type="dxa"/>
            <w:vMerge w:val="restart"/>
            <w:textDirection w:val="lrTb"/>
            <w:noWrap w:val="false"/>
          </w:tcPr>
          <w:p>
            <w:pPr>
              <w:spacing w:after="0" w:afterAutospacing="0" w:line="288" w:lineRule="auto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Итого: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8"/>
                <w:szCs w:val="28"/>
              </w:rPr>
              <w:t xml:space="preserve">36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473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46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left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none"/>
        </w:rPr>
      </w:r>
      <w:r>
        <w:rPr>
          <w:color w:val="00b0f0"/>
          <w:lang w:eastAsia="ru-RU"/>
        </w:rPr>
        <w:drawing>
          <wp:inline distT="0" distB="0" distL="0" distR="0">
            <wp:extent cx="5974102" cy="4109497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none"/>
        </w:rPr>
        <w:t xml:space="preserve">При проведения анализа поступившей информации, комитетом установлено значительное увеличение количества возбужденных уголовных дел                                   по преступлениям коррупционной направленности, выявленным в отношении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руководителей  и работник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ов подведомственных учреждений.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Если в 2024 году лицами данной категории совершено 23 преступления (64 % от общего числа преступлений), то в 2025 году  - 31 преступление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(67,4 % от общего числа преступлений)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. Рост произошел в связи с увеличением количества возбужденных уголовных дел по ст.ст. 159 УК РФ, 290 УК РФ,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291 УК РФ,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292 УК РФ и составил 34,8 %.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none"/>
        </w:rPr>
        <w:t xml:space="preserve">В отношении лиц, замещающих муниципальные должности в 2024 году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возбуждено 9 уголовных дел (25 % от общего числа преступлений).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В 2025 году в отношении данной категории лиц возбуждено 4 уголовных дела (8,7 % от общего числа пр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еступлений). Показатель по совершенным преступлениям от общего числа преступлений снизился на 16,3 %, а абсолютный показатель снижения количества уголовных дел, возбужденных в отношении лиц, замещающих муниципальные должности, составил 55,6 %.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 2024 году муниципальными служащими совершено 4 преступления коррупционной направленности, в 2025 году в отношении указанных лиц уголовные дела не возбуждались.</w:t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  <w:highlight w:val="none"/>
        </w:rPr>
      </w:pP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</w:r>
      <w:r>
        <w:rPr>
          <w:color w:val="00b0f0"/>
          <w:lang w:eastAsia="ru-RU"/>
        </w:rPr>
        <w:drawing>
          <wp:inline distT="0" distB="0" distL="0" distR="0">
            <wp:extent cx="5940423" cy="408632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Ощущение экономической нестабильности подталкивает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должностное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лицо обменивать свои «должностные возможности» на «экономические выгоды». Так, в 2024 году по ст. 290 УК РФ (получение взятки) возбуждено 6 уголовных дел (17 % от общего количества преступлений коррупционной направленности), в 2025 - 16 (34,8 %)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bCs/>
          <w:color w:val="000000"/>
          <w:sz w:val="28"/>
          <w:szCs w:val="28"/>
        </w:rPr>
      </w:pP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Материальный ущерб от коррупционных преступлений по рассмотренным уголовным делам в 2025 году составил 1 046 099,08 рублей. </w:t>
      </w:r>
      <w:r>
        <w:rPr>
          <w:rFonts w:ascii="Tinos" w:hAnsi="Tinos" w:cs="Tinos"/>
          <w:bCs/>
          <w:color w:val="000000"/>
          <w:sz w:val="28"/>
          <w:szCs w:val="28"/>
        </w:rPr>
      </w:r>
      <w:r>
        <w:rPr>
          <w:rFonts w:ascii="Tinos" w:hAnsi="Tinos" w:cs="Tinos"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Комитет обращает внимание на существенный рост количества преступлений, квалифицированных по ст. 290 УК РФ (получение взятки).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Это одно из основных и наиболее строгих коррупционных преступлений в законодательстве Российской Федерации.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Получение взятки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с использованием служебного положения предполагает, что должностные лица, при осуществлении управленческих и распорядительных функций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получают незаконное материальное вознаграждение за совершение действий (бездействие) в пользу взяткодателя или представляемых им лиц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При получении взятки должностное лицо целенаправленно осуществляет действия по обмену своих должностных возможностей на экономическую выгоду, что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приводит к совершению коррупционных преступлений.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тепень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общественной опасности преступлений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совершаемых путем получения взятки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велика потому, что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ах, органах местного самоуправления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государственных и муниципальных учреждениях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дискредитирует авторитет органов власти в глазах общественности.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В целях эффективной реализации мер по профилактике коррупционных 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правонарушений необходимо понимание, что профилактика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это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не только разъяснительная работа и деятельность по </w:t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пропаганде антикоррупционного поведения, но и обязательное, акцентированное, принципиальное применение мер понуждения к исполнению обязанностей, требований, запретов и ограничений, установленных в целях противодействия коррупции.</w:t>
      </w:r>
      <w:r>
        <w:rPr>
          <w:rFonts w:ascii="Tinos" w:hAnsi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 2024 год в отношении государственных гражданских и муниципальных служащих, лиц, замещающих муниципальные должности, руководителей     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и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работников подведомственных учреждений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, выявлено 225 фак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тов коррупционных правонарушений, однако к дисциплинарной ответственности привлечено только 153 лица.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88" w:lineRule="auto"/>
        <w:rPr>
          <w:rFonts w:ascii="Tinos" w:hAnsi="Tinos" w:cs="Tinos"/>
          <w:color w:val="000000" w:themeColor="text1"/>
          <w:sz w:val="28"/>
          <w:szCs w:val="28"/>
          <w:highlight w:val="yellow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За 2025 год в отношении государственных гражданских и муниципальных служащих, лиц, замещающих муниципальные должности, руководителей </w:t>
      </w:r>
      <w:r>
        <w:rPr>
          <w:rFonts w:ascii="Tinos" w:hAnsi="Tinos" w:eastAsia="Tinos" w:cs="Tinos"/>
          <w:bCs/>
          <w:sz w:val="28"/>
          <w:szCs w:val="28"/>
        </w:rPr>
        <w:t xml:space="preserve">и работников подведомственных учреждений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,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 выявле</w:t>
      </w: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white"/>
        </w:rPr>
        <w:t xml:space="preserve">но 123</w:t>
      </w: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white"/>
        </w:rPr>
        <w:t xml:space="preserve">факта корруп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ционных правонарушений, к дисциплинарной ответственности привлечено</w:t>
      </w: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8"/>
          <w:szCs w:val="28"/>
          <w:highlight w:val="white"/>
        </w:rPr>
        <w:t xml:space="preserve">–79. </w:t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По результатам проведения анализа, </w:t>
      </w:r>
      <w:r>
        <w:rPr>
          <w:rFonts w:ascii="Tinos" w:hAnsi="Tinos" w:eastAsia="Tinos" w:cs="Tinos"/>
          <w:sz w:val="28"/>
          <w:szCs w:val="28"/>
          <w:lang w:eastAsia="zh-CN"/>
        </w:rPr>
        <w:t xml:space="preserve">комитет </w:t>
      </w:r>
      <w:r>
        <w:rPr>
          <w:rFonts w:ascii="Tinos" w:hAnsi="Tinos" w:eastAsia="Tinos" w:cs="Tinos"/>
          <w:sz w:val="28"/>
          <w:szCs w:val="28"/>
          <w:lang w:eastAsia="zh-CN"/>
        </w:rPr>
        <w:t xml:space="preserve">отмечает, что имеющееся количество коррупционных преступлений, совершенных в 2024-2025 годах                         и динамика изменения показателей свидетельствует о недостаточности профилактической работы и, как следствие, о необхо</w:t>
      </w:r>
      <w:r>
        <w:rPr>
          <w:rFonts w:ascii="Tinos" w:hAnsi="Tinos" w:eastAsia="Tinos" w:cs="Tinos"/>
          <w:sz w:val="28"/>
          <w:szCs w:val="28"/>
          <w:lang w:eastAsia="zh-CN"/>
        </w:rPr>
        <w:t xml:space="preserve">димости принятия дополнительных мер со стороны исполнительных органов и органов местного самоуправления, направленных на минимизацию фактов коррупционных правонарушений и исключение фактов коррупционных преступлений.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Министерству </w:t>
      </w:r>
      <w:r>
        <w:rPr>
          <w:rFonts w:ascii="Tinos" w:hAnsi="Tinos" w:eastAsia="Tinos" w:cs="Tinos"/>
          <w:bCs/>
          <w:sz w:val="28"/>
          <w:szCs w:val="28"/>
          <w:highlight w:val="none"/>
        </w:rPr>
        <w:t xml:space="preserve">природных ресурсов, экологии и имущественных отношений Оренбургской области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и Министерству здравоохранения Оренбургской области обратить внимание на состояние работы по профилактике коррупционных правонарушений в подведомственных учреждениях.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  <w:lang w:eastAsia="zh-CN"/>
        </w:rPr>
      </w:r>
      <w:r>
        <w:rPr>
          <w:rFonts w:ascii="Tinos" w:hAnsi="Tinos" w:eastAsia="Tinos" w:cs="Tinos"/>
          <w:color w:val="000000"/>
          <w:sz w:val="28"/>
          <w:szCs w:val="28"/>
          <w:shd w:val="clear" w:color="auto" w:fill="ffffff"/>
        </w:rPr>
        <w:t xml:space="preserve">Учитывая факт наибольшего количества возбужденных уголовных дел                     в отношении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руководителей и работников подведомственных учреждений,</w:t>
      </w:r>
      <w:r>
        <w:rPr>
          <w:rFonts w:ascii="Tinos" w:hAnsi="Tinos" w:eastAsia="Tinos" w:cs="Tinos"/>
          <w:sz w:val="28"/>
          <w:szCs w:val="28"/>
          <w:lang w:eastAsia="zh-CN"/>
        </w:rPr>
        <w:t xml:space="preserve"> исполнительным органам Оренбургской области и органам местного самоуправления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необходимо активизировать работу по профилактике коррупционных правонарушений в подведомственных учреждениях.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 учетом данного обзора обеспечить реализацию </w:t>
      </w:r>
      <w:r>
        <w:rPr>
          <w:rFonts w:ascii="Tinos" w:hAnsi="Tinos" w:eastAsia="Tinos" w:cs="Tinos" w:eastAsiaTheme="minorEastAsia"/>
          <w:sz w:val="28"/>
          <w:szCs w:val="28"/>
          <w:lang w:eastAsia="ru-RU"/>
        </w:rPr>
        <w:t xml:space="preserve">статьи 13.3 Федерального закона от 25 дек</w:t>
      </w:r>
      <w:r>
        <w:rPr>
          <w:rFonts w:ascii="Tinos" w:hAnsi="Tinos" w:eastAsia="Tinos" w:cs="Tinos" w:eastAsiaTheme="minorEastAsia"/>
          <w:sz w:val="28"/>
          <w:szCs w:val="28"/>
          <w:lang w:eastAsia="ru-RU"/>
        </w:rPr>
        <w:t xml:space="preserve">абря 2008 года № 273-ФЗ «О противодействии коррупции»                     </w:t>
      </w:r>
      <w:r>
        <w:rPr>
          <w:rFonts w:ascii="Tinos" w:hAnsi="Tinos" w:eastAsia="Tinos" w:cs="Tinos" w:eastAsiaTheme="minorEastAsia"/>
          <w:sz w:val="28"/>
          <w:szCs w:val="28"/>
          <w:lang w:eastAsia="ru-RU"/>
        </w:rPr>
        <w:t xml:space="preserve">   и исполнение решений комиссии по координации работы по противодействию коррупции в Оренбургской области, направленных на организацию, практическую реализацию, оценку эффективности мер по предупреждению коррупции                           в организациях.</w:t>
      </w:r>
      <w:r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r>
      <w:r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 w:eastAsiaTheme="minorEastAsia"/>
          <w:sz w:val="28"/>
          <w:szCs w:val="28"/>
          <w:highlight w:val="none"/>
          <w:lang w:eastAsia="ru-RU"/>
        </w:rPr>
      </w:r>
      <w:r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r>
      <w:r>
        <w:rPr>
          <w:rFonts w:ascii="Tinos" w:hAnsi="Tinos" w:cs="Tinos" w:eastAsiaTheme="minorEastAsia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afterAutospacing="0"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 w:eastAsiaTheme="minorEastAsia"/>
          <w:sz w:val="28"/>
          <w:szCs w:val="28"/>
          <w:highlight w:val="none"/>
          <w:lang w:eastAsia="ru-RU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Комитет по про</w:t>
      </w:r>
      <w:r>
        <w:rPr>
          <w:rFonts w:ascii="Tinos" w:hAnsi="Tinos" w:eastAsia="Tinos" w:cs="Tinos"/>
          <w:sz w:val="28"/>
          <w:szCs w:val="28"/>
        </w:rPr>
        <w:t xml:space="preserve">филактике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коррупционных правонарушений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Оренбургской области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288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88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27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333333"/>
          <w:sz w:val="24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333333"/>
          <w:sz w:val="24"/>
          <w:highlight w:val="none"/>
        </w:rPr>
      </w:r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7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64"/>
    <w:link w:val="755"/>
    <w:uiPriority w:val="9"/>
    <w:rPr>
      <w:rFonts w:ascii="Arial" w:hAnsi="Arial" w:eastAsia="Arial" w:cs="Arial"/>
      <w:sz w:val="40"/>
      <w:szCs w:val="40"/>
    </w:rPr>
  </w:style>
  <w:style w:type="character" w:styleId="739">
    <w:name w:val="Heading 2 Char"/>
    <w:basedOn w:val="764"/>
    <w:link w:val="756"/>
    <w:uiPriority w:val="9"/>
    <w:rPr>
      <w:rFonts w:ascii="Arial" w:hAnsi="Arial" w:eastAsia="Arial" w:cs="Arial"/>
      <w:sz w:val="34"/>
    </w:rPr>
  </w:style>
  <w:style w:type="character" w:styleId="740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1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42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3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6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764"/>
    <w:link w:val="778"/>
    <w:uiPriority w:val="10"/>
    <w:rPr>
      <w:sz w:val="48"/>
      <w:szCs w:val="48"/>
    </w:rPr>
  </w:style>
  <w:style w:type="character" w:styleId="748">
    <w:name w:val="Subtitle Char"/>
    <w:basedOn w:val="764"/>
    <w:link w:val="780"/>
    <w:uiPriority w:val="11"/>
    <w:rPr>
      <w:sz w:val="24"/>
      <w:szCs w:val="24"/>
    </w:rPr>
  </w:style>
  <w:style w:type="character" w:styleId="749">
    <w:name w:val="Quote Char"/>
    <w:link w:val="782"/>
    <w:uiPriority w:val="29"/>
    <w:rPr>
      <w:i/>
    </w:rPr>
  </w:style>
  <w:style w:type="character" w:styleId="750">
    <w:name w:val="Intense Quote Char"/>
    <w:link w:val="784"/>
    <w:uiPriority w:val="30"/>
    <w:rPr>
      <w:i/>
    </w:rPr>
  </w:style>
  <w:style w:type="character" w:styleId="751">
    <w:name w:val="Caption Char"/>
    <w:basedOn w:val="790"/>
    <w:link w:val="788"/>
    <w:uiPriority w:val="99"/>
  </w:style>
  <w:style w:type="character" w:styleId="752">
    <w:name w:val="Footnote Text Char"/>
    <w:link w:val="919"/>
    <w:uiPriority w:val="99"/>
    <w:rPr>
      <w:sz w:val="18"/>
    </w:rPr>
  </w:style>
  <w:style w:type="character" w:styleId="753">
    <w:name w:val="Endnote Text Char"/>
    <w:link w:val="922"/>
    <w:uiPriority w:val="99"/>
    <w:rPr>
      <w:sz w:val="20"/>
    </w:rPr>
  </w:style>
  <w:style w:type="paragraph" w:styleId="754" w:default="1">
    <w:name w:val="Normal"/>
    <w:qFormat/>
  </w:style>
  <w:style w:type="paragraph" w:styleId="755">
    <w:name w:val="Heading 1"/>
    <w:basedOn w:val="754"/>
    <w:next w:val="754"/>
    <w:link w:val="767"/>
    <w:qFormat/>
    <w:pPr>
      <w:ind w:firstLine="2481"/>
      <w:keepNext/>
      <w:outlineLvl w:val="0"/>
    </w:pPr>
    <w:rPr>
      <w:sz w:val="24"/>
    </w:rPr>
  </w:style>
  <w:style w:type="paragraph" w:styleId="756">
    <w:name w:val="Heading 2"/>
    <w:basedOn w:val="754"/>
    <w:next w:val="754"/>
    <w:link w:val="768"/>
    <w:qFormat/>
    <w:pPr>
      <w:ind w:right="141"/>
      <w:jc w:val="both"/>
      <w:keepNext/>
      <w:outlineLvl w:val="1"/>
    </w:pPr>
    <w:rPr>
      <w:sz w:val="28"/>
    </w:rPr>
  </w:style>
  <w:style w:type="paragraph" w:styleId="757">
    <w:name w:val="Heading 3"/>
    <w:basedOn w:val="754"/>
    <w:next w:val="754"/>
    <w:link w:val="769"/>
    <w:qFormat/>
    <w:pPr>
      <w:ind w:left="215"/>
      <w:keepNext/>
      <w:outlineLvl w:val="2"/>
    </w:pPr>
    <w:rPr>
      <w:sz w:val="28"/>
    </w:rPr>
  </w:style>
  <w:style w:type="paragraph" w:styleId="758">
    <w:name w:val="Heading 4"/>
    <w:basedOn w:val="754"/>
    <w:next w:val="754"/>
    <w:link w:val="770"/>
    <w:qFormat/>
    <w:pPr>
      <w:keepNext/>
      <w:outlineLvl w:val="3"/>
    </w:pPr>
    <w:rPr>
      <w:b/>
      <w:sz w:val="24"/>
    </w:rPr>
  </w:style>
  <w:style w:type="paragraph" w:styleId="759">
    <w:name w:val="Heading 5"/>
    <w:basedOn w:val="754"/>
    <w:next w:val="754"/>
    <w:link w:val="771"/>
    <w:qFormat/>
    <w:pPr>
      <w:jc w:val="center"/>
      <w:keepNext/>
      <w:outlineLvl w:val="4"/>
    </w:pPr>
    <w:rPr>
      <w:b/>
      <w:sz w:val="32"/>
    </w:rPr>
  </w:style>
  <w:style w:type="paragraph" w:styleId="760">
    <w:name w:val="Heading 6"/>
    <w:basedOn w:val="754"/>
    <w:next w:val="754"/>
    <w:link w:val="772"/>
    <w:qFormat/>
    <w:pPr>
      <w:keepNext/>
      <w:framePr w:w="3604" w:h="578" w:hSpace="181" w:wrap="around" w:vAnchor="page" w:hAnchor="page" w:x="7941" w:y="426"/>
      <w:outlineLvl w:val="5"/>
    </w:pPr>
    <w:rPr>
      <w:sz w:val="28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54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77">
    <w:name w:val="No Spacing"/>
    <w:uiPriority w:val="1"/>
    <w:qFormat/>
    <w:rPr>
      <w:lang w:eastAsia="zh-CN"/>
    </w:rPr>
  </w:style>
  <w:style w:type="paragraph" w:styleId="778">
    <w:name w:val="Title"/>
    <w:basedOn w:val="754"/>
    <w:next w:val="754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link w:val="778"/>
    <w:uiPriority w:val="10"/>
    <w:rPr>
      <w:sz w:val="48"/>
      <w:szCs w:val="48"/>
    </w:rPr>
  </w:style>
  <w:style w:type="paragraph" w:styleId="780">
    <w:name w:val="Subtitle"/>
    <w:basedOn w:val="754"/>
    <w:next w:val="754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54"/>
    <w:next w:val="754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4"/>
    <w:next w:val="754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54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787" w:customStyle="1">
    <w:name w:val="Header Char"/>
    <w:uiPriority w:val="99"/>
  </w:style>
  <w:style w:type="paragraph" w:styleId="788">
    <w:name w:val="Footer"/>
    <w:basedOn w:val="754"/>
    <w:link w:val="791"/>
    <w:pPr>
      <w:tabs>
        <w:tab w:val="center" w:pos="4153" w:leader="none"/>
        <w:tab w:val="right" w:pos="8306" w:leader="none"/>
      </w:tabs>
    </w:pPr>
  </w:style>
  <w:style w:type="character" w:styleId="789" w:customStyle="1">
    <w:name w:val="Footer Char"/>
    <w:uiPriority w:val="99"/>
  </w:style>
  <w:style w:type="paragraph" w:styleId="790">
    <w:name w:val="Caption"/>
    <w:basedOn w:val="754"/>
    <w:next w:val="754"/>
    <w:link w:val="75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1" w:customStyle="1">
    <w:name w:val="Нижний колонтитул Знак"/>
    <w:link w:val="788"/>
    <w:uiPriority w:val="99"/>
  </w:style>
  <w:style w:type="table" w:styleId="792">
    <w:name w:val="Table Grid"/>
    <w:basedOn w:val="765"/>
    <w:tblPr/>
  </w:style>
  <w:style w:type="table" w:styleId="79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8">
    <w:name w:val="Hyperlink"/>
    <w:uiPriority w:val="99"/>
    <w:unhideWhenUsed/>
    <w:rPr>
      <w:color w:val="0000ff"/>
      <w:u w:val="single"/>
    </w:rPr>
  </w:style>
  <w:style w:type="paragraph" w:styleId="919">
    <w:name w:val="footnote text"/>
    <w:basedOn w:val="754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54"/>
    <w:link w:val="923"/>
    <w:uiPriority w:val="99"/>
    <w:semiHidden/>
    <w:unhideWhenUsed/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54"/>
    <w:next w:val="754"/>
    <w:uiPriority w:val="39"/>
    <w:unhideWhenUsed/>
    <w:pPr>
      <w:spacing w:after="57"/>
    </w:pPr>
  </w:style>
  <w:style w:type="paragraph" w:styleId="926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7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8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9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30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31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32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33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  <w:rPr>
      <w:lang w:eastAsia="zh-CN"/>
    </w:rPr>
  </w:style>
  <w:style w:type="paragraph" w:styleId="935">
    <w:name w:val="table of figures"/>
    <w:basedOn w:val="754"/>
    <w:next w:val="754"/>
    <w:uiPriority w:val="99"/>
    <w:unhideWhenUsed/>
  </w:style>
  <w:style w:type="paragraph" w:styleId="936">
    <w:name w:val="Body Text"/>
    <w:basedOn w:val="754"/>
    <w:pPr>
      <w:framePr w:w="3604" w:h="578" w:hSpace="181" w:wrap="around" w:vAnchor="page" w:hAnchor="page" w:x="7941" w:y="426"/>
    </w:pPr>
    <w:rPr>
      <w:sz w:val="28"/>
    </w:rPr>
  </w:style>
  <w:style w:type="paragraph" w:styleId="937">
    <w:name w:val="Balloon Text"/>
    <w:basedOn w:val="754"/>
    <w:link w:val="938"/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link w:val="937"/>
    <w:rPr>
      <w:rFonts w:ascii="Segoe UI" w:hAnsi="Segoe UI" w:cs="Segoe UI"/>
      <w:sz w:val="18"/>
      <w:szCs w:val="18"/>
    </w:rPr>
  </w:style>
  <w:style w:type="paragraph" w:styleId="93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40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41" w:customStyle="1">
    <w:name w:val="Верхний колонтитул Знак"/>
    <w:link w:val="786"/>
    <w:uiPriority w:val="99"/>
  </w:style>
  <w:style w:type="paragraph" w:styleId="942">
    <w:name w:val="Normal (Web)"/>
    <w:basedOn w:val="7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43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>
                <a:latin typeface="Tinos"/>
                <a:ea typeface="Tinos"/>
                <a:cs typeface="Tinos"/>
              </a:defRPr>
            </a:pPr>
            <a:r>
              <a:rPr sz="1400">
                <a:latin typeface="Tinos"/>
                <a:ea typeface="Tinos"/>
                <a:cs typeface="Tinos"/>
              </a:rPr>
              <a:t>Количество совершенных преступлений коррупционной направленности</a:t>
            </a:r>
            <a:endParaRPr sz="1400">
              <a:latin typeface="Tinos"/>
              <a:cs typeface="Tinos"/>
            </a:endParaRPr>
          </a:p>
        </c:rich>
      </c:tx>
      <c:layout>
        <c:manualLayout>
          <c:xMode val="edge"/>
          <c:yMode val="edge"/>
          <c:x val="0.132540"/>
          <c:y val="0.03010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>
              <a:solidFill>
                <a:schemeClr val="tx1">
                  <a:lumMod val="65000"/>
                  <a:lumOff val="35000"/>
                </a:schemeClr>
              </a:solidFill>
              <a:latin typeface="Tinos"/>
              <a:ea typeface="Tinos"/>
              <a:cs typeface="Tino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Лист1!$A$9:$A$16</c:f>
              <c:strCache>
                <c:ptCount val="8"/>
                <c:pt idx="0">
                  <c:v xml:space="preserve">Общее количество совершенных преступлений </c:v>
                </c:pt>
                <c:pt idx="1">
                  <c:v xml:space="preserve">ст. 159 УК РФ</c:v>
                </c:pt>
                <c:pt idx="2">
                  <c:v xml:space="preserve">ст. 160 УК РФ</c:v>
                </c:pt>
                <c:pt idx="3">
                  <c:v xml:space="preserve">ст.285 УК РФ</c:v>
                </c:pt>
                <c:pt idx="4">
                  <c:v xml:space="preserve">ст. 286 УК РФ</c:v>
                </c:pt>
                <c:pt idx="5">
                  <c:v xml:space="preserve">ст. 290 УК РФ</c:v>
                </c:pt>
                <c:pt idx="6">
                  <c:v xml:space="preserve">ст. 291 УК РФ</c:v>
                </c:pt>
                <c:pt idx="7">
                  <c:v xml:space="preserve">ст. 292 УК РФ</c:v>
                </c:pt>
              </c:strCache>
            </c:strRef>
          </c:cat>
          <c:val>
            <c:numRef>
              <c:f>Лист1!$B$9:$B$16</c:f>
              <c:numCache>
                <c:formatCode>General</c:formatCode>
                <c:ptCount val="8"/>
                <c:pt idx="0">
                  <c:v>36</c:v>
                </c:pt>
                <c:pt idx="1">
                  <c:v>5</c:v>
                </c:pt>
                <c:pt idx="2">
                  <c:v>16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Лист1!$A$9:$A$16</c:f>
              <c:strCache>
                <c:ptCount val="8"/>
                <c:pt idx="0">
                  <c:v xml:space="preserve">Общее количество совершенных преступлений </c:v>
                </c:pt>
                <c:pt idx="1">
                  <c:v xml:space="preserve">ст. 159 УК РФ</c:v>
                </c:pt>
                <c:pt idx="2">
                  <c:v xml:space="preserve">ст. 160 УК РФ</c:v>
                </c:pt>
                <c:pt idx="3">
                  <c:v xml:space="preserve">ст.285 УК РФ</c:v>
                </c:pt>
                <c:pt idx="4">
                  <c:v xml:space="preserve">ст. 286 УК РФ</c:v>
                </c:pt>
                <c:pt idx="5">
                  <c:v xml:space="preserve">ст. 290 УК РФ</c:v>
                </c:pt>
                <c:pt idx="6">
                  <c:v xml:space="preserve">ст. 291 УК РФ</c:v>
                </c:pt>
                <c:pt idx="7">
                  <c:v xml:space="preserve">ст. 292 УК РФ</c:v>
                </c:pt>
              </c:strCache>
            </c:strRef>
          </c:cat>
          <c:val>
            <c:numRef>
              <c:f>Лист1!$C$9:$C$16</c:f>
              <c:numCache>
                <c:formatCode>General</c:formatCode>
                <c:ptCount val="8"/>
                <c:pt idx="0">
                  <c:v>46</c:v>
                </c:pt>
                <c:pt idx="1">
                  <c:v>11</c:v>
                </c:pt>
                <c:pt idx="2">
                  <c:v>5</c:v>
                </c:pt>
                <c:pt idx="3">
                  <c:v>0</c:v>
                </c:pt>
                <c:pt idx="4">
                  <c:v>1</c:v>
                </c:pt>
                <c:pt idx="5">
                  <c:v>16</c:v>
                </c:pt>
                <c:pt idx="6">
                  <c:v>6</c:v>
                </c:pt>
                <c:pt idx="7">
                  <c:v>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00"/>
        <c:overlap val="-23"/>
        <c:axId val="1866169593"/>
        <c:axId val="1866169594"/>
      </c:barChart>
      <c:catAx>
        <c:axId val="186616959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6169594"/>
        <c:crosses val="autoZero"/>
        <c:auto val="1"/>
        <c:lblAlgn val="ctr"/>
        <c:lblOffset val="100"/>
        <c:noMultiLvlLbl val="0"/>
      </c:catAx>
      <c:valAx>
        <c:axId val="186616959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616959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 rot="0" flipH="0" flipV="0">
      <a:off x="0" y="0"/>
      <a:ext cx="5974101" cy="410949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2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>
                <a:solidFill>
                  <a:schemeClr val="tx1"/>
                </a:solidFill>
              </a:defRPr>
            </a:pPr>
            <a:r>
              <a:rPr>
                <a:solidFill>
                  <a:schemeClr val="tx1"/>
                </a:solidFill>
              </a:rPr>
              <a:t>Категория лиц, совершивших преступления коррупционной направленности</a:t>
            </a:r>
            <a:endParaRPr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2540"/>
          <c:y val="0.03010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Лица, замещающие государственные должности Оренбургской области</c:v>
                </c:pt>
                <c:pt idx="1">
                  <c:v xml:space="preserve">Лица, замещающие муниципальные должности Оренбургской области</c:v>
                </c:pt>
                <c:pt idx="2">
                  <c:v xml:space="preserve">Муниципальные служащие</c:v>
                </c:pt>
                <c:pt idx="3">
                  <c:v xml:space="preserve">Руководители и работники подведомственных учреждений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Лица, замещающие государственные должности Оренбургской области</c:v>
                </c:pt>
                <c:pt idx="1">
                  <c:v xml:space="preserve">Лица, замещающие муниципальные должности Оренбургской области</c:v>
                </c:pt>
                <c:pt idx="2">
                  <c:v xml:space="preserve">Муниципальные служащие</c:v>
                </c:pt>
                <c:pt idx="3">
                  <c:v xml:space="preserve">Руководители и работники подведомственных учреждений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31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7"/>
        <c:axId val="1866169577"/>
        <c:axId val="1866169578"/>
      </c:barChart>
      <c:catAx>
        <c:axId val="186616957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78"/>
        <c:crosses val="autoZero"/>
        <c:auto val="1"/>
        <c:lblAlgn val="ctr"/>
        <c:lblOffset val="100"/>
        <c:noMultiLvlLbl val="0"/>
      </c:catAx>
      <c:valAx>
        <c:axId val="186616957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7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 rot="0" flipH="0" flipV="0">
      <a:off x="0" y="0"/>
      <a:ext cx="5940423" cy="408632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областная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nvky</cp:lastModifiedBy>
  <cp:revision>37</cp:revision>
  <dcterms:created xsi:type="dcterms:W3CDTF">2023-03-15T11:57:00Z</dcterms:created>
  <dcterms:modified xsi:type="dcterms:W3CDTF">2026-02-16T05:52:07Z</dcterms:modified>
  <cp:version>983040</cp:version>
</cp:coreProperties>
</file>